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873" w:rsidRDefault="00964873" w:rsidP="00964873">
      <w:pPr>
        <w:pStyle w:val="a4"/>
        <w:jc w:val="center"/>
        <w:rPr>
          <w:rFonts w:ascii="Times New Roman" w:hAnsi="Times New Roman"/>
          <w:spacing w:val="20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78FB314" wp14:editId="6ED5E054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873" w:rsidRDefault="00964873" w:rsidP="0096487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О В Е Т</w:t>
      </w:r>
    </w:p>
    <w:p w:rsidR="00964873" w:rsidRDefault="00964873" w:rsidP="0096487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КОЧЕТНОВСКОГО МУНИЦИПАЛЬНОГО ОБРАЗОВАНИЯ</w:t>
      </w:r>
    </w:p>
    <w:p w:rsidR="00964873" w:rsidRDefault="00964873" w:rsidP="0096487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РОВЕНСКОГО  МУНИЦИПАЛЬНОГО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964873" w:rsidRDefault="00964873" w:rsidP="0096487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964873" w:rsidRDefault="00964873" w:rsidP="0096487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ЧЕТВЁРТОГО СОЗЫВА</w:t>
      </w:r>
    </w:p>
    <w:p w:rsidR="00964873" w:rsidRPr="00964873" w:rsidRDefault="00964873" w:rsidP="0096487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64873" w:rsidRPr="00964873" w:rsidRDefault="00964873" w:rsidP="009648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 Е</w:t>
      </w:r>
    </w:p>
    <w:p w:rsidR="00964873" w:rsidRDefault="002313C9" w:rsidP="0096487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02.10</w:t>
      </w:r>
      <w:r w:rsidR="00964873">
        <w:rPr>
          <w:rFonts w:ascii="Times New Roman" w:hAnsi="Times New Roman"/>
          <w:b/>
          <w:sz w:val="28"/>
          <w:szCs w:val="28"/>
        </w:rPr>
        <w:t>.2017 г.</w:t>
      </w:r>
      <w:r w:rsidR="00964873">
        <w:rPr>
          <w:rFonts w:ascii="Times New Roman" w:hAnsi="Times New Roman"/>
          <w:b/>
          <w:sz w:val="28"/>
          <w:szCs w:val="28"/>
        </w:rPr>
        <w:tab/>
      </w:r>
      <w:r w:rsidR="00964873">
        <w:rPr>
          <w:rFonts w:ascii="Times New Roman" w:hAnsi="Times New Roman"/>
          <w:b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6487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№   28</w:t>
      </w:r>
      <w:r w:rsidR="00964873">
        <w:rPr>
          <w:rFonts w:ascii="Times New Roman" w:hAnsi="Times New Roman"/>
          <w:b/>
          <w:sz w:val="28"/>
          <w:szCs w:val="28"/>
        </w:rPr>
        <w:t xml:space="preserve">                        с.  </w:t>
      </w:r>
      <w:proofErr w:type="spellStart"/>
      <w:r w:rsidR="00964873">
        <w:rPr>
          <w:rFonts w:ascii="Times New Roman" w:hAnsi="Times New Roman"/>
          <w:b/>
          <w:sz w:val="28"/>
          <w:szCs w:val="28"/>
        </w:rPr>
        <w:t>Кочетное</w:t>
      </w:r>
      <w:proofErr w:type="spellEnd"/>
    </w:p>
    <w:p w:rsidR="00964873" w:rsidRDefault="002313C9" w:rsidP="002313C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изменений </w:t>
      </w:r>
      <w:r w:rsidR="0096487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решение Совета Кочетновского МО от 28.03.2012 г. № 21</w:t>
      </w:r>
      <w:r w:rsidR="00964873">
        <w:rPr>
          <w:rFonts w:ascii="Times New Roman" w:hAnsi="Times New Roman"/>
          <w:b/>
          <w:sz w:val="28"/>
          <w:szCs w:val="28"/>
        </w:rPr>
        <w:t xml:space="preserve"> «О правилах  благоустрой</w:t>
      </w:r>
      <w:r>
        <w:rPr>
          <w:rFonts w:ascii="Times New Roman" w:hAnsi="Times New Roman"/>
          <w:b/>
          <w:sz w:val="28"/>
          <w:szCs w:val="28"/>
        </w:rPr>
        <w:t>ства населенных пунктов Кочетнов</w:t>
      </w:r>
      <w:r w:rsidR="00964873">
        <w:rPr>
          <w:rFonts w:ascii="Times New Roman" w:hAnsi="Times New Roman"/>
          <w:b/>
          <w:sz w:val="28"/>
          <w:szCs w:val="28"/>
        </w:rPr>
        <w:t>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64873">
        <w:rPr>
          <w:rFonts w:ascii="Times New Roman" w:hAnsi="Times New Roman"/>
          <w:b/>
          <w:sz w:val="28"/>
          <w:szCs w:val="28"/>
        </w:rPr>
        <w:t xml:space="preserve">муниципального образования Ровенского </w:t>
      </w:r>
    </w:p>
    <w:p w:rsidR="00964873" w:rsidRDefault="00964873" w:rsidP="002313C9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района  Саратовской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области»</w:t>
      </w:r>
    </w:p>
    <w:p w:rsidR="00964873" w:rsidRDefault="00964873" w:rsidP="002313C9">
      <w:pPr>
        <w:spacing w:after="0" w:line="240" w:lineRule="auto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4873" w:rsidRDefault="00964873" w:rsidP="0088363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sz w:val="28"/>
          <w:szCs w:val="28"/>
          <w:lang w:val="de-DE" w:eastAsia="ru-RU"/>
        </w:rPr>
        <w:t>соответствии</w:t>
      </w:r>
      <w:proofErr w:type="spellEnd"/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с </w:t>
      </w:r>
      <w:hyperlink r:id="rId6" w:history="1">
        <w:proofErr w:type="spellStart"/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de-DE" w:eastAsia="ru-RU"/>
          </w:rPr>
          <w:t>Федеральным</w:t>
        </w:r>
        <w:proofErr w:type="spellEnd"/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de-DE" w:eastAsia="ru-RU"/>
          </w:rPr>
          <w:t xml:space="preserve"> </w:t>
        </w:r>
        <w:proofErr w:type="spellStart"/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de-DE" w:eastAsia="ru-RU"/>
          </w:rPr>
          <w:t>законом</w:t>
        </w:r>
        <w:proofErr w:type="spellEnd"/>
      </w:hyperlink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de-DE" w:eastAsia="ru-RU"/>
        </w:rPr>
        <w:t>от</w:t>
      </w:r>
      <w:proofErr w:type="spellEnd"/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06.10.2003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131-ФЗ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  <w:lang w:val="de-DE" w:eastAsia="ru-RU"/>
        </w:rPr>
        <w:t>Об</w:t>
      </w:r>
      <w:proofErr w:type="spellEnd"/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de-DE" w:eastAsia="ru-RU"/>
        </w:rPr>
        <w:t>общих</w:t>
      </w:r>
      <w:proofErr w:type="spellEnd"/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de-DE" w:eastAsia="ru-RU"/>
        </w:rPr>
        <w:t>принципах</w:t>
      </w:r>
      <w:proofErr w:type="spellEnd"/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de-DE" w:eastAsia="ru-RU"/>
        </w:rPr>
        <w:t>организации</w:t>
      </w:r>
      <w:proofErr w:type="spellEnd"/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de-DE" w:eastAsia="ru-RU"/>
        </w:rPr>
        <w:t>местного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de-DE" w:eastAsia="ru-RU"/>
        </w:rPr>
        <w:t>самоуправления</w:t>
      </w:r>
      <w:proofErr w:type="spellEnd"/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de-DE" w:eastAsia="ru-RU"/>
        </w:rPr>
        <w:t>Российской</w:t>
      </w:r>
      <w:proofErr w:type="spellEnd"/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de-DE" w:eastAsia="ru-RU"/>
        </w:rPr>
        <w:t>Федерации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, </w:t>
      </w:r>
      <w:r>
        <w:rPr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</w:rPr>
        <w:t>на осн</w:t>
      </w:r>
      <w:r w:rsidR="002313C9">
        <w:rPr>
          <w:rFonts w:ascii="Times New Roman" w:hAnsi="Times New Roman"/>
          <w:sz w:val="28"/>
          <w:szCs w:val="28"/>
        </w:rPr>
        <w:t>овании статьи 50 Устава Кочетнов</w:t>
      </w:r>
      <w:r>
        <w:rPr>
          <w:rFonts w:ascii="Times New Roman" w:hAnsi="Times New Roman"/>
          <w:sz w:val="28"/>
          <w:szCs w:val="28"/>
        </w:rPr>
        <w:t>ского  муниципального образования Ровенского муниципального района Саратовской области</w:t>
      </w:r>
      <w:r w:rsidR="00883635">
        <w:rPr>
          <w:rFonts w:ascii="Times New Roman" w:hAnsi="Times New Roman"/>
          <w:sz w:val="28"/>
          <w:szCs w:val="28"/>
        </w:rPr>
        <w:t>,  Совет Кочетнов</w:t>
      </w:r>
      <w:r>
        <w:rPr>
          <w:rFonts w:ascii="Times New Roman" w:hAnsi="Times New Roman"/>
          <w:sz w:val="28"/>
          <w:szCs w:val="28"/>
        </w:rPr>
        <w:t xml:space="preserve">ского муниципального образования   </w:t>
      </w:r>
      <w:r>
        <w:rPr>
          <w:rFonts w:ascii="Times New Roman" w:hAnsi="Times New Roman"/>
          <w:b/>
          <w:sz w:val="28"/>
          <w:szCs w:val="28"/>
        </w:rPr>
        <w:t xml:space="preserve">РЕШИЛ 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964873" w:rsidRDefault="00964873" w:rsidP="0088363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Внести в Приложение к  решению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883635">
        <w:rPr>
          <w:rFonts w:ascii="Times New Roman" w:hAnsi="Times New Roman"/>
          <w:sz w:val="28"/>
          <w:szCs w:val="28"/>
        </w:rPr>
        <w:t>Совета Кочетновского МО от 28.03.2012 г. № 21</w:t>
      </w:r>
      <w:r>
        <w:rPr>
          <w:rFonts w:ascii="Times New Roman" w:hAnsi="Times New Roman"/>
          <w:sz w:val="28"/>
          <w:szCs w:val="28"/>
        </w:rPr>
        <w:t xml:space="preserve"> «О </w:t>
      </w:r>
      <w:proofErr w:type="gramStart"/>
      <w:r>
        <w:rPr>
          <w:rFonts w:ascii="Times New Roman" w:hAnsi="Times New Roman"/>
          <w:sz w:val="28"/>
          <w:szCs w:val="28"/>
        </w:rPr>
        <w:t>правилах  благоустрой</w:t>
      </w:r>
      <w:r w:rsidR="00883635">
        <w:rPr>
          <w:rFonts w:ascii="Times New Roman" w:hAnsi="Times New Roman"/>
          <w:sz w:val="28"/>
          <w:szCs w:val="28"/>
        </w:rPr>
        <w:t>ства</w:t>
      </w:r>
      <w:proofErr w:type="gramEnd"/>
      <w:r w:rsidR="00883635">
        <w:rPr>
          <w:rFonts w:ascii="Times New Roman" w:hAnsi="Times New Roman"/>
          <w:sz w:val="28"/>
          <w:szCs w:val="28"/>
        </w:rPr>
        <w:t xml:space="preserve"> населенных пунктов Кочетнов</w:t>
      </w:r>
      <w:r>
        <w:rPr>
          <w:rFonts w:ascii="Times New Roman" w:hAnsi="Times New Roman"/>
          <w:sz w:val="28"/>
          <w:szCs w:val="28"/>
        </w:rPr>
        <w:t>ского муниципального образования Ровенского муниципального района  Саратовской области»</w:t>
      </w:r>
    </w:p>
    <w:p w:rsidR="00964873" w:rsidRDefault="00964873" w:rsidP="008836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(с изменениями от 04.12.2009 № 45-545, 08.07.2011 № 5-58,  29.09.2011</w:t>
      </w:r>
    </w:p>
    <w:p w:rsidR="00964873" w:rsidRDefault="00964873" w:rsidP="008836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№ 7-83, 26.04.2013 №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-283, 23.04.2015 № 45-515, 23.03.2017 № 14-109) следующие изменения:</w:t>
      </w:r>
    </w:p>
    <w:p w:rsidR="003D4EC5" w:rsidRDefault="00FA274C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1.1.  Раздел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.7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</w:t>
      </w:r>
      <w:r w:rsidR="003D4EC5">
        <w:rPr>
          <w:rFonts w:ascii="Times New Roman" w:eastAsia="Times New Roman" w:hAnsi="Times New Roman"/>
          <w:sz w:val="28"/>
          <w:szCs w:val="28"/>
          <w:lang w:val="x-none" w:eastAsia="ru-RU"/>
        </w:rPr>
        <w:t>дополнить пункт</w:t>
      </w:r>
      <w:r w:rsidR="003D4EC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м</w:t>
      </w:r>
      <w:r w:rsidR="003D4EC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</w:t>
      </w:r>
      <w:r w:rsidR="003D4EC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64873" w:rsidRPr="003D4EC5" w:rsidRDefault="00FA274C" w:rsidP="003D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7.7.</w:t>
      </w:r>
      <w:r w:rsidR="003D4EC5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«Вывески - информационные конструкции, размещаемые на фасадах или иных внешних поверхностях зданий, сооружений, включая витрины и окна в месте фактического нахождения или осуществления деятельности организации или индивидуального предпринимателя, содержащие: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сведения о профиле деятельности организации, индивидуального предпринимателя и (или) виде реализуемых ими товаров, оказываемых услуг и (или) их наименование (фирменное наименование, коммерческое обозначение, изображение товарного знака, знака обслуживания) в целях извещения неопределенного круга лиц о фактическом местоположении (месте осуществления деятельности) данной организации, индивидуального предпринимателя;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lastRenderedPageBreak/>
        <w:t xml:space="preserve">- сведения, размещаемые в случаях, предусмотренных Законом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.02.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1992 № 2300-1 «О защите прав потребителей».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Витрина - пространство, сформированное архитектурным проектом здания, ограниченное с внешней стороны остеклением и используемое для экспозиции товаров и услуг.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«Зеленая зона» - часть фасада здания, строения, сооружения, на которой в соответствии с настоящими Правилами разрешена установка вывесок.»</w:t>
      </w:r>
    </w:p>
    <w:p w:rsidR="00964873" w:rsidRDefault="003D4EC5" w:rsidP="003D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7.8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Установка выве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сок 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 осуществляется после согласования проекта размещения вывески с комитетом по градостроительной политике, архитектуре и капитальному строительству администрации </w:t>
      </w:r>
      <w:r w:rsidR="00964873">
        <w:rPr>
          <w:rFonts w:ascii="Times New Roman" w:eastAsia="Times New Roman" w:hAnsi="Times New Roman"/>
          <w:sz w:val="28"/>
          <w:szCs w:val="28"/>
          <w:lang w:eastAsia="ru-RU"/>
        </w:rPr>
        <w:t>Ровенского муниципального района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Внешний вид вывесок должен соответствовать архитектурно-художественным требованиям, установленным комитетом по градостроительной политике, архитектуре и капитальному строительству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Ровенского муниципального района</w:t>
      </w:r>
      <w:r w:rsidR="003D4EC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В </w:t>
      </w:r>
      <w:r w:rsidR="00883635">
        <w:rPr>
          <w:rFonts w:ascii="Times New Roman" w:eastAsia="Times New Roman" w:hAnsi="Times New Roman"/>
          <w:sz w:val="28"/>
          <w:szCs w:val="28"/>
          <w:lang w:eastAsia="ru-RU"/>
        </w:rPr>
        <w:t>населенных пунктах Кочетнов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разрешается размещение вывесок в виде: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плоских вывесок с подложкой и без подложки (конструкция вывесок располагается параллельно к поверхности фасадов объектов и (или) их конструктивных элементов непосредственно на плоскости фасада объекта);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лайтбоксов</w:t>
      </w:r>
      <w:proofErr w:type="spellEnd"/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(световых коробов) простых и (или) сложных геометрических форм (конструкция светового короба располагается параллельно к поверхности фасадов объектов и (или) их конструктивных элементов непосредственно на плоскости фасада объекта);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панель-кронштейнов с подложкой, без подложки, размещаемых с помощью невидимых (скрытых), подвесных, дистанционных креплений и/или креплений с нижней поддержкой (конструкция вывесок располагается перпендикулярно к поверхности фасадов объектов и (или) их конструктивных элементов);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витринных конструкций с постоянным и (или) временным оформлением (конструкция вывесок располагается в витрине с внешней и (или) с внутренней стороны остекления витрины объектов);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информационных табличек и табличек общих указателей;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панелей на опоре размещаемых на отдельных опорах с отступом от поверхности фасада.</w:t>
      </w:r>
    </w:p>
    <w:p w:rsidR="00964873" w:rsidRDefault="003D4EC5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2.7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Организации, индивидуальные предприниматели, осуществляющие деятельность в области общественного питания, дополнительно к выв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еске, указанной в подпункте 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7.8.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настоящих Правил, вправе разместить не более одной таблички с меню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.</w:t>
      </w:r>
    </w:p>
    <w:p w:rsidR="00964873" w:rsidRDefault="003D4EC5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2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7.10.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Организации, индивидуальные предприниматели осуществляют размещение выв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есок, указанных в подпункте 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7.8.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настоящих Правил, на плоских участках фасада, свободных от архитектурных элементов, исключительно в пределах площадей внешних поверхностей объекта, соответствующих границам помещений, занимаемых данными организациями, индивидуальными предпринимателями (правообладателями 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lastRenderedPageBreak/>
        <w:t>данных помещений). Максимальная длина вывески не должна превышать</w:t>
      </w:r>
      <w:r w:rsidR="0096487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12 м.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Требование первого абзаца настоящего подпункта не распространяется на случаи размещения вывесок на торговых (торгово-развлекательных) и развлекательных центрах (комплексах) организациями, индивидуальными предпринимателями, местом нахождения или осуществления деятельности которых являются указанные  центры (комплексы).</w:t>
      </w:r>
    </w:p>
    <w:p w:rsidR="00964873" w:rsidRDefault="003D4EC5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2.7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Вывески должны быть безопасны, спроектированы, изготовлены и установлены в соответствии с требованиями действующего законодательства Российской Федерации. </w:t>
      </w:r>
    </w:p>
    <w:p w:rsidR="00964873" w:rsidRDefault="003D4EC5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2.7.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В целях раздела 2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настоящих Правил улицы подразделяются на две категории: исторические (далее – исторические улицы), типовые (далее – типовые улицы).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Улица относится к исторической, если сумма длин фасадов зданий и сооружений, относящихся к исторической застройке, составляет более 50 % от общей длины фасадов зданий и сооружений, формирующих улицу.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К исторической застройке относятся объекты, построенные до 1956 года (включительно).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Улица относится к типовой, если сумма длин фасадов зданий и сооружений, относящихся к исторической застройке, составляет менее 50 % от общей длины фасадов зданий и сооружений, формирующих улицу.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В случае пересечения исторической и типовой улиц размещение вывесок на фасадах объектов, расположенных на пересечении, следует оформлять по правилам размещения вывесок на исторической улице.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Отнесение улиц к указанным категориям осуществляется комитетом по градостроительной политике, архитектуре и капитальному строительству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Ровенского муниципального района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Реестр исторических и типовых улиц размещается на официальном сайте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Ровенского муниципального района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Размещение вывесок на объектах культурного наследия осуществляется в соответствии с действующим законодательством Российской Федерации.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Размещение вывесок должно осуществляться в «зеленых зонах».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При определении «зеленой зоны» запрещается: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несоблюдение заданных максимальных параметров «зеленой зоны» для каждого из типов вывесок;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выделение «зеленых зон» без учета расположения центральных  архитектурных элементов фасада;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выделение «зеленых зон» над входом в арки;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заполнение арочных проемов (кроме временного оформления витрин);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выделение «зелено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зоны» поверх межэтажных и цокольных карнизов, колонн, капителей, пилястр, барельефов, обрамления оконных и дверных проемов, узоров, подоконников, кронштейнов, рустов;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определение «зелено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зоны» для панель-кронштейна на уровне цокольного этажа;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lastRenderedPageBreak/>
        <w:t>- одновременно выделение «зелено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зоны» для плоских вывесок и постоянного оформления витрин, более чем в один уровень.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Правила определения «зеленой зоны» для плоской вывески: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плоская вывеска располагается на поверхности внешних стен над входами в здания, витринами и окнами первых этажей;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 случае расположения организации или индивидуального предпринимателя на втором этаже возможно выделение «зелено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зоны» над окнами второго этажа;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 случае расположения организации или индивидуального предпринимателя на цокольном этаже с отдельным входом ниже уровня первого этажа возможно выделение «зелено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зоны» над входом в здание и над окнами цокольного этажа;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 случае расположения организации или индивидуального предпринимателя на подвальном этаже с отдельным входом ниже уровня улицы возможно выделение «зелено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зоны» над входом в здание, торцах козырька над лестничным проемом и ограждением лестничного проема со стороны улицы;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 случае расположения организации или индивидуального предпринимателя в арке возможно выделение «зелено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зоны» на внутренних плоскостях арочного проема;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следует выделять «зеленые зоны» с учетом расположения центральных осей между архитектурными элементами;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высота «зелено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зоны» для зданий и сооружений на исторических улицах должна быть не более 500 мм;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высота «зеленой зоны» для зданий и сооружений на типовых улицах должна быть не более 700 мм;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 случае выделения «зелено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зоны» над цокольным этажом высота должна быть не более 500 мм;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ширина «зелено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зоны» определяется архитектурными элементами фасада.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Правила определения «зеленой зоны» для панель-кронштейна: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панель-кронштейн располагается на поверхности внешних стен над входами в здания, витринами и окнами первых этажей;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высота «зеленой зоны» для зданий и сооружений на исторических улицах должна быть не более 500 мм;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высота «зеленой зоны» для зданий и сооружений на типовых улицах должна быть не более 700 мм;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ширина «зеленой зоны» определяется архитектурными элементами фасада.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Правила определения «зеленой зоны» для витринных конструкций с постоянным оформлением: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«зеленая зона» располагается в витринах и окнах первых и вторых этажей;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«зеленую зону» следует выделять с учетом формы витрины;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lastRenderedPageBreak/>
        <w:t xml:space="preserve">- высота «зеленой зоны» для зданий и сооружений на исторических улицах не более 400 мм;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высота «зеленой зоны» для зданий и сооружений на типовых улицах не более 600 мм;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ширина «зеленой зоны» определяется габаритами проема витрины.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Правила определения «зеленой зоны» для витринных конструкций с временным оформлением: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«зеленая зона» располагается в витринах и окнах первых этажей;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высота «зеленой зоны» определяется высотой̆ проема витрины или окна;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ширина «зеленой зоны» определяется шириной проема витрины или окна.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Правила определения «зеленой зоны» для информационных табличек и общих указателей: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информационные таблички и общие указатели, содержащие сведения и информацию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указанную в абзаце 11 раздела 2, могут быть расположены рядом со входом в здание, сооружение;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высота табличек и общих указателей должна быть не более 800 мм, ширина должна быть не более 500 мм;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верхний край табличек и общих указателей должен находиться не ниже 1 600 мм от уровня входа в здание;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ab/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общие указатели, содержащие сведения и информацию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указанную в абзаце 11 раздела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могут быть расположены рядом с арками, а также над входами в здания, где размещены несколько организаций;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следует выделять «зеленую зону» с учетом расположения центральных осей между архитектурными элементами фасада. Центральная ось таблички должна находиться на расстоянии не более 1 м от края входного проема. 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На фасадах зданий, сооружений, расположенных на всех улицах города Саратова, запрещается: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нарушение установленных требований к местам размещения вывесок;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нарушение геометрических параметров (размеров) вывесок;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плоских вывесок длиной более 12 м;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плоских вывесок на ограждении, торце козырька и внутренних плоскостях лестничного проема длиной более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5 м.;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размещение вывесок выше линии перекрытий между первым и вторым, вторым и третьем этажами, включая крыши;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вывесок на кровлях, кровлях лоджий и балконов и (или) на лоджиях и балконах;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вывесок на козырьках зданий, за исключение козырька над лестничным проемом подвального помещения;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вывесок поверх архитектурных элементов фасада;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вывесок на ограждающих конструкциях (заборах, шлагбаумах, ограждениях, перилах и т. д.);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полное перекрытие (закрытие) оконных и дверных проемов, а также витражей и витрин;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lastRenderedPageBreak/>
        <w:t>- перекрытие (закрытие) указателей наименований улиц и номеров домов;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вывесок на расстоянии ближе, чем 1,5 м от мемориальных досок;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размещение вывесок с помощью демонстрации постеров на динамических системах смены изображений (роллерные системы, системы поворотных панелей — 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призматроны</w:t>
      </w:r>
      <w:proofErr w:type="spellEnd"/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и др.) или с помощью изображения, демонстрируемого на электронных носителях (экраны (телевизоры), бегущая строка и т. д.);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вывесок путем непосредственного нанесения на поверхность фасада декоративно-художественного и (или) текстового изображения (методом покраски, наклейки и иными методами);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вывесок на глухих торцах фасада;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размещение вывесок в виде отдельно стоящих сборно-разборных (складных) конструкций - 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штендеров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x-none" w:eastAsia="ru-RU"/>
        </w:rPr>
        <w:t>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размещения вывесок путем пристройки информационной конструкции к фасаду объекта;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устройство в витрине конструкций электронных носителей-экранов (телевизоров) на всю высоту и (или) длину остекления витрины;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вывесок с использованием картона, ткани, баннерной ткани (за исключением афиш).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На фасадах зданий и сооружений, расположенных на исторической улице, запрещается: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панель-кронштейнов с невидимым типом крепления;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размещение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лайтбоксов</w:t>
      </w:r>
      <w:proofErr w:type="spellEnd"/>
      <w:r>
        <w:rPr>
          <w:rFonts w:ascii="Times New Roman" w:eastAsia="Times New Roman" w:hAnsi="Times New Roman"/>
          <w:sz w:val="28"/>
          <w:szCs w:val="28"/>
          <w:lang w:val="x-none" w:eastAsia="ru-RU"/>
        </w:rPr>
        <w:t>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плоских вывесок с подложкой, за исключение вывесок, размещаемых на торцах козырька над лестничным проемом и ограждения лестничного проема в подвальное помещение.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Размещение 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лайтбоксов</w:t>
      </w:r>
      <w:proofErr w:type="spellEnd"/>
      <w:r>
        <w:rPr>
          <w:rFonts w:ascii="Times New Roman" w:eastAsia="Times New Roman" w:hAnsi="Times New Roman"/>
          <w:sz w:val="28"/>
          <w:szCs w:val="28"/>
          <w:lang w:val="x-none" w:eastAsia="ru-RU"/>
        </w:rPr>
        <w:t>, плоских вывесок с подложкой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постоянных витринных конструкций с подложкой разрешается только на фасадах торговых и (или) развлекательных центров, расположенных на типовой улице: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 рамках фасада одного торгового центра все вывески должны быть выполнены в едином варианте исполнения;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при размещении вывесок на подложках следует использовать единое цветовое решение и материал;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 окнах второго этажа торгового центра при необходимости допускается размещение постоянных вывесок без подложки.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В случае размещения панель-кронштейнов на углу здания или сооружения, расстояние от торца объекта до вывески должно быть не менее 1,5 м.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ри</w:t>
      </w:r>
      <w:proofErr w:type="spellEnd"/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наличии на внешних поверхностях здания, сооружения в месте размещения вывески элементов систем газоснабжения и (или) водоотведения (водосточных труб) размещение настенных конструкций осуществляется при условии обеспечения безопасности указанных систем.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lastRenderedPageBreak/>
        <w:t>При размещении на одном фасаде здания или сооружения одновременно вывесок нескольких организаций, индивидуальных предпринимателей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указанные вывески размещаются в один высотный ряд на единой горизонтальной линии (на одном уровне, высоте).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На вывеске может быть организована подсветка.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Подсветка вывески должна иметь немерцающий свет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не создавать прямых направленных лучей в окна жилых помещений.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При размещении 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лайтбокса</w:t>
      </w:r>
      <w:proofErr w:type="spellEnd"/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или плоской вывески без подложки с внутренней подсветкой на фасаде жилого здания его боковые, нижние и верхние панели должны быть выполнены из светонепроницаемого материала.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Информация на вывесках, указанная в абзаце 11 раздела 2, может быть размещена на: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плоских вывесках;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лайтбоксах</w:t>
      </w:r>
      <w:proofErr w:type="spellEnd"/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;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панель-кронштейнах;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информационных табличках и табличках общих указателей;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-витринных конструкци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с постоянным и (или) временным оформлением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-панелях на опоре.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Информация на вывесках, указанная в абзаце 11 раздела 2, может быть размещена на: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витринных конструкциях с временным оформлением;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информационных табличках и табличках общих указателей.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Запрещается размещение на вывесках и общих указателях информации о скидках и акциях, проводимых организациями и индивидуальными предпринимателями.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На общих указателях разрешается размещение значка, указывающего местонахождение организации или индивидуального предпринимателя.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При размещении информации на вывесках запрещается: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хаотичное размещение информации без учета расположения  центральных осей вывески либо центральной оси «зеленой зоны»;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несоблюдение максимальных габаритов вывески либо «зеленой  зоны»;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размещение информации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более чем два уровня в пределах одной вывески либо «зеленой зоны»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размещение информации на торцевой стороне панели вывески;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вертикальный порядок расположения букв на информационном поле вывески;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дублирование размещаемой информации в пределах одной «зеленой зоны».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Площадь размещаемой на витринах информации не должна занимать более 30 % площади витрины.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Информация на плоских вывесках и 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лайтбоксах</w:t>
      </w:r>
      <w:proofErr w:type="spellEnd"/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должна быть размещена с соблюдением минимальных отступов в 100 мм от контура вывески или «зеленой зоны»: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на пересечении центральных осей архитектурных элементов фасада;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lastRenderedPageBreak/>
        <w:t>- в один уровень;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при размещении на вывеске только одного элемента информации его следует выравнивать относительно центральных осей вывески либо «зеленой зоны».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При размещении информации на панель-кронштейнах: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рекомендуется соблюдать минимальные отступы от контура панели в 50 мм;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следует размещать информацию на пересечении центральных осей панели;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разрешается размещение информации одним из способов — линейным или радиальным;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следует соблюдать максимально-разрешенные параметры при размещении информации без подложки.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При размещении информации на информационных табличках: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следует соблюдать минимальные отступы от контура таблички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в 25 мм;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следует размещать информацию на пересечении центральных осей панели.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При размещении информации на табличках - общих указателях: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- следует соблюдать минимальные отступы от контура таблички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в 25 мм;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 случае размещения таблички у арки следует размещать общую для всех перечисленных организаций навигацию сверху таблички, надписи должны быть одинаково выровнены по левому краю;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- в случае размещения таблички у входа в здание следует размещать этажи организаций общим блоком с одной стороны.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2.7.</w:t>
      </w:r>
      <w:r w:rsidR="003D4EC5"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Вывески должны содержаться в технически исправном состоянии, быть очищенными от грязи и иного мусора.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Не допускается наличие на вывесках механических повреждений, прорывов размещаемых на них полотен, а также нарушение целостности конструкции.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Металлические элементы вывесок должны быть очищены от ржавчины и окрашены.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Не допускается размещение на вывесках объявлений, посторонних надписей, изображений и других сообщений, не относящихся к данной вывеске.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Обязанность по соблюдению требований настоящего раздела Правил к содержанию и размещению вывесок, в том числе в части безопасности размещаемых конструкций и проведения работ по их размещению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несут владельцы вывесок.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Вывески, не соответствующие требованиям настоящих Правил, подлежат демонтажу в соответствии с действующим законодательством Российской Федерации.</w:t>
      </w:r>
    </w:p>
    <w:p w:rsidR="00964873" w:rsidRDefault="003D4EC5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2.7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14.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Организации, эксплуатирующие световые рекламы и вывески, должны включать их с наступлением темного времени суток и выключать не 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lastRenderedPageBreak/>
        <w:t xml:space="preserve">ранее времени отключения уличного освещения, но не позднее наступления светового дня, а также обеспечивать своевременную замену перегоревших </w:t>
      </w:r>
      <w:proofErr w:type="spellStart"/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газосветовых</w:t>
      </w:r>
      <w:proofErr w:type="spellEnd"/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трубок и электроламп.</w:t>
      </w:r>
    </w:p>
    <w:p w:rsidR="00964873" w:rsidRDefault="003D4EC5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2.7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15.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Расклейка газет, афиш, плакатов, различного рода объявлений и реклам разрешается только на специально установленных стендах. Места для расклейки объявлений физических и юридических лиц, не связанных с осуществлением предпринимательской деятельности, на муниципальных объектах определяются администрацией города Саратова.</w:t>
      </w:r>
    </w:p>
    <w:p w:rsidR="00964873" w:rsidRDefault="003D4EC5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2.7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16.</w:t>
      </w:r>
      <w:r w:rsidR="00964873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Очистка от размещенных объявлений, листовок, надписей, иных информационных материалов, не содержащих информацию рекламного характера, со зданий и сооружений, за исключением объектов жилищного фонда, осуществляется собственниками данных объектов.»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>Установить что:</w:t>
      </w:r>
      <w:bookmarkStart w:id="0" w:name="_GoBack"/>
      <w:bookmarkEnd w:id="0"/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ывески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размещенные на исторических улицах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подлежат приведению в соответствие с требованиями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установленными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настоящими 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Правилами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в срок до 1 октября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года. 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ывески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размещенные на типовых улицах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подлежат приведению в соответствие с требованиями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установленными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настоящими 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Правилами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в срок до 1 мая 2018 года.</w:t>
      </w: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4873" w:rsidRDefault="00964873" w:rsidP="008836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>. Настоящее решение вступает в силу со дня его официального опубликования.</w:t>
      </w:r>
    </w:p>
    <w:p w:rsidR="00964873" w:rsidRDefault="00964873" w:rsidP="008836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873" w:rsidRDefault="00964873" w:rsidP="008836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873" w:rsidRDefault="00964873" w:rsidP="008836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873" w:rsidRDefault="00883635" w:rsidP="00883635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Кочетнов</w:t>
      </w:r>
      <w:r w:rsidR="00964873">
        <w:rPr>
          <w:rFonts w:ascii="Times New Roman" w:hAnsi="Times New Roman"/>
          <w:b/>
          <w:sz w:val="28"/>
          <w:szCs w:val="28"/>
        </w:rPr>
        <w:t>ского</w:t>
      </w:r>
    </w:p>
    <w:p w:rsidR="00964873" w:rsidRDefault="00964873" w:rsidP="00883635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</w:t>
      </w:r>
      <w:r w:rsidR="00883635">
        <w:rPr>
          <w:rFonts w:ascii="Times New Roman" w:hAnsi="Times New Roman"/>
          <w:b/>
          <w:sz w:val="28"/>
          <w:szCs w:val="28"/>
        </w:rPr>
        <w:t xml:space="preserve">                                В.И. Петровичев</w:t>
      </w:r>
    </w:p>
    <w:p w:rsidR="00690B36" w:rsidRDefault="00690B36" w:rsidP="00883635">
      <w:pPr>
        <w:jc w:val="both"/>
      </w:pPr>
    </w:p>
    <w:sectPr w:rsidR="00690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F06E2"/>
    <w:multiLevelType w:val="hybridMultilevel"/>
    <w:tmpl w:val="90E2D8D6"/>
    <w:lvl w:ilvl="0" w:tplc="99FA889E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A9D"/>
    <w:rsid w:val="001A3A9D"/>
    <w:rsid w:val="002313C9"/>
    <w:rsid w:val="003D4EC5"/>
    <w:rsid w:val="00690B36"/>
    <w:rsid w:val="00883635"/>
    <w:rsid w:val="00964873"/>
    <w:rsid w:val="00D169D3"/>
    <w:rsid w:val="00FA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07885"/>
  <w15:chartTrackingRefBased/>
  <w15:docId w15:val="{944D384C-83F3-4F35-8079-88FDD229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8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64873"/>
    <w:rPr>
      <w:color w:val="0000FF"/>
      <w:u w:val="single"/>
    </w:rPr>
  </w:style>
  <w:style w:type="paragraph" w:styleId="a4">
    <w:name w:val="No Spacing"/>
    <w:uiPriority w:val="1"/>
    <w:qFormat/>
    <w:rsid w:val="0096487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16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69D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6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6367.14011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2928</Words>
  <Characters>16692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2017-10-05T05:46:00Z</cp:lastPrinted>
  <dcterms:created xsi:type="dcterms:W3CDTF">2017-10-03T07:25:00Z</dcterms:created>
  <dcterms:modified xsi:type="dcterms:W3CDTF">2017-10-05T05:48:00Z</dcterms:modified>
</cp:coreProperties>
</file>